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418424</w:t>
      </w:r>
    </w:p>
    <w:p>
      <w:pPr>
        <w:pStyle w:val="18"/>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5.27.1</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OLE_LINK8"/>
      <w:bookmarkStart w:id="3" w:name="OLE_LINK7"/>
      <w:r>
        <w:rPr>
          <w:rFonts w:hint="eastAsia"/>
          <w:b/>
          <w:sz w:val="22"/>
          <w:lang w:val="en-US" w:eastAsia="zh-CN"/>
        </w:rPr>
        <w:t xml:space="preserve">  </w:t>
      </w:r>
      <w:bookmarkStart w:id="8" w:name="_GoBack"/>
      <w:bookmarkEnd w:id="8"/>
      <w:r>
        <w:rPr>
          <w:rFonts w:hint="eastAsia"/>
          <w:sz w:val="22"/>
        </w:rPr>
        <w:t>Discussion on core maintenance for NES</w:t>
      </w:r>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last meeting, RAN4 focused on maintenance issues, the WF has been approved in [1]. There is only one issue left, we provide our view on this issue in this contribution.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4" w:name="_Hlk70326378"/>
      <w:bookmarkStart w:id="5" w:name="OLE_LINK2"/>
      <w:bookmarkStart w:id="6" w:name="OLE_LINK1"/>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pPr>
        <w:rPr>
          <w:rFonts w:eastAsia="宋体"/>
          <w:b/>
          <w:i/>
          <w:iCs/>
          <w:sz w:val="20"/>
          <w:szCs w:val="20"/>
          <w:u w:val="single"/>
          <w:lang w:val="en-GB" w:eastAsia="ko-KR"/>
        </w:rPr>
      </w:pPr>
      <w:bookmarkStart w:id="7" w:name="OLE_LINK16"/>
      <w:r>
        <w:rPr>
          <w:rFonts w:eastAsia="宋体"/>
          <w:b/>
          <w:i/>
          <w:iCs/>
          <w:sz w:val="20"/>
          <w:szCs w:val="20"/>
          <w:u w:val="single"/>
          <w:lang w:val="en-GB" w:eastAsia="ko-KR"/>
        </w:rPr>
        <w:t>Issue 1-1-4: Neighbour cells on carrier of SSB-less SCell</w:t>
      </w:r>
    </w:p>
    <w:p>
      <w:pPr>
        <w:keepNext w:val="0"/>
        <w:keepLines w:val="0"/>
        <w:pageBreakBefore w:val="0"/>
        <w:widowControl/>
        <w:kinsoku/>
        <w:wordWrap/>
        <w:topLinePunct w:val="0"/>
        <w:bidi w:val="0"/>
        <w:snapToGrid/>
        <w:spacing w:after="60"/>
        <w:rPr>
          <w:rFonts w:eastAsia="宋体"/>
          <w:b/>
          <w:bCs/>
          <w:i/>
          <w:iCs/>
          <w:sz w:val="20"/>
          <w:szCs w:val="20"/>
          <w:lang w:val="en-GB" w:eastAsia="ko-KR"/>
        </w:rPr>
      </w:pPr>
      <w:r>
        <w:rPr>
          <w:rFonts w:hint="eastAsia" w:eastAsia="宋体"/>
          <w:b/>
          <w:bCs/>
          <w:i/>
          <w:iCs/>
          <w:sz w:val="20"/>
          <w:szCs w:val="20"/>
          <w:lang w:val="en-GB" w:eastAsia="zh-CN"/>
        </w:rPr>
        <w:t>FFS</w:t>
      </w:r>
      <w:r>
        <w:rPr>
          <w:rFonts w:eastAsia="宋体"/>
          <w:b/>
          <w:bCs/>
          <w:i/>
          <w:iCs/>
          <w:sz w:val="20"/>
          <w:szCs w:val="20"/>
          <w:lang w:val="en-GB" w:eastAsia="ko-KR"/>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US" w:eastAsia="zh-CN"/>
        </w:rPr>
      </w:pPr>
      <w:r>
        <w:rPr>
          <w:rFonts w:eastAsia="宋体"/>
          <w:i/>
          <w:iCs/>
          <w:sz w:val="20"/>
          <w:szCs w:val="24"/>
          <w:lang w:val="en-GB" w:eastAsia="ko-KR"/>
        </w:rPr>
        <w:t>Intra-frequency/Inter-frequency definition: </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ko-KR"/>
        </w:rPr>
      </w:pPr>
      <w:r>
        <w:rPr>
          <w:rFonts w:eastAsia="宋体"/>
          <w:i/>
          <w:iCs/>
          <w:sz w:val="20"/>
          <w:szCs w:val="24"/>
          <w:lang w:val="en-GB" w:eastAsia="ko-KR"/>
        </w:rPr>
        <w:t>Inter-frequency based on existing definition. No impact to spec about the intra-f and inter-f definition.</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ko-KR"/>
        </w:rPr>
      </w:pPr>
      <w:r>
        <w:rPr>
          <w:rFonts w:eastAsia="宋体"/>
          <w:i/>
          <w:iCs/>
          <w:sz w:val="20"/>
          <w:szCs w:val="24"/>
          <w:lang w:val="en-GB" w:eastAsia="ko-KR"/>
        </w:rPr>
        <w:t> No spec impact in terms of inter- or intra- frequency, and with or without gap.</w:t>
      </w:r>
    </w:p>
    <w:p>
      <w:pPr>
        <w:rPr>
          <w:rFonts w:eastAsia="宋体"/>
          <w:b/>
          <w:i/>
          <w:iCs/>
          <w:sz w:val="20"/>
          <w:szCs w:val="20"/>
          <w:u w:val="single"/>
          <w:lang w:val="en-GB" w:eastAsia="ko-KR"/>
        </w:rPr>
      </w:pPr>
    </w:p>
    <w:bookmarkEnd w:id="7"/>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Due to there is no SSB transmission and SSB centre frequency information for SSB-less SCell, for the case of the neighbour cell(s) is on the carrier of SSB-less SCell and the SSB from neighbour cell(s) can be contained in the active BWP of SSB-less SCell, RAN4 hasn</w:t>
      </w:r>
      <w:r>
        <w:rPr>
          <w:rFonts w:hint="default" w:cs="Times New Roman"/>
          <w:sz w:val="20"/>
          <w:szCs w:val="20"/>
          <w:lang w:val="en-US" w:eastAsia="zh-CN"/>
        </w:rPr>
        <w:t>’</w:t>
      </w:r>
      <w:r>
        <w:rPr>
          <w:rFonts w:hint="eastAsia" w:cs="Times New Roman"/>
          <w:sz w:val="20"/>
          <w:szCs w:val="20"/>
          <w:lang w:val="en-US" w:eastAsia="zh-CN"/>
        </w:rPr>
        <w:t>t draw the conclusion about how to define the requirements.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Even for the case of the SSBs from multiple neighbour cells can be contained in the active BWP of SSB-less SCell, we think UE still have the capability to receive and process all the SSBs in one SMTC without resource sharing. Technically, we think it is feasible to treat this case as intra-frequency measurement. However, there will be spec impact, since this case doesn</w:t>
      </w:r>
      <w:r>
        <w:rPr>
          <w:rFonts w:hint="default" w:cs="Times New Roman"/>
          <w:sz w:val="20"/>
          <w:szCs w:val="20"/>
          <w:lang w:val="en-US" w:eastAsia="zh-CN"/>
        </w:rPr>
        <w:t>’</w:t>
      </w:r>
      <w:r>
        <w:rPr>
          <w:rFonts w:hint="eastAsia" w:cs="Times New Roman"/>
          <w:sz w:val="20"/>
          <w:szCs w:val="20"/>
          <w:lang w:val="en-US" w:eastAsia="zh-CN"/>
        </w:rPr>
        <w:t>t satisfy the current definition of intra-frequency measurement.</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The existing definition of intra-frequency measurement and inter-frequency measurement is as follows: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8" w:type="dxa"/>
          </w:tcPr>
          <w:p>
            <w:pPr>
              <w:keepNext w:val="0"/>
              <w:keepLines w:val="0"/>
              <w:pageBreakBefore w:val="0"/>
              <w:widowControl/>
              <w:kinsoku/>
              <w:wordWrap/>
              <w:overflowPunct/>
              <w:topLinePunct w:val="0"/>
              <w:autoSpaceDE/>
              <w:autoSpaceDN/>
              <w:bidi w:val="0"/>
              <w:adjustRightInd/>
              <w:snapToGrid/>
              <w:spacing w:after="120"/>
              <w:textAlignment w:val="auto"/>
              <w:rPr>
                <w:rFonts w:hint="eastAsia" w:cs="Times New Roman"/>
                <w:i/>
                <w:iCs/>
                <w:sz w:val="20"/>
                <w:szCs w:val="20"/>
                <w:lang w:val="en-US" w:eastAsia="zh-CN"/>
              </w:rPr>
            </w:pPr>
            <w:r>
              <w:rPr>
                <w:rFonts w:hint="eastAsia" w:cs="Times New Roman"/>
                <w:i/>
                <w:iCs/>
                <w:sz w:val="20"/>
                <w:szCs w:val="20"/>
                <w:lang w:val="en-US"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keepNext w:val="0"/>
              <w:keepLines w:val="0"/>
              <w:pageBreakBefore w:val="0"/>
              <w:widowControl/>
              <w:kinsoku/>
              <w:wordWrap/>
              <w:overflowPunct/>
              <w:topLinePunct w:val="0"/>
              <w:autoSpaceDE/>
              <w:autoSpaceDN/>
              <w:bidi w:val="0"/>
              <w:adjustRightInd/>
              <w:snapToGrid/>
              <w:spacing w:after="120"/>
              <w:textAlignment w:val="auto"/>
              <w:rPr>
                <w:rFonts w:hint="default" w:cs="Times New Roman"/>
                <w:i/>
                <w:iCs/>
                <w:sz w:val="20"/>
                <w:szCs w:val="20"/>
                <w:lang w:val="en-US" w:eastAsia="zh-CN"/>
              </w:rPr>
            </w:pPr>
            <w:r>
              <w:rPr>
                <w:rFonts w:hint="default" w:cs="Times New Roman"/>
                <w:i/>
                <w:iCs/>
                <w:sz w:val="20"/>
                <w:szCs w:val="20"/>
                <w:lang w:val="en-US" w:eastAsia="zh-CN"/>
              </w:rPr>
              <w:t>A measurement is defined as an SSB based inter-frequency measurement provided it is not defined as an intra-frequency measurement</w:t>
            </w:r>
            <w:r>
              <w:rPr>
                <w:rFonts w:hint="eastAsia" w:cs="Times New Roman"/>
                <w:i/>
                <w:iCs/>
                <w:sz w:val="20"/>
                <w:szCs w:val="20"/>
                <w:lang w:val="en-US" w:eastAsia="zh-CN"/>
              </w:rPr>
              <w:t>.</w:t>
            </w:r>
          </w:p>
        </w:tc>
      </w:tr>
    </w:tbl>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1: Technically, it is feasible to treat this case as intra-frequency measurement, but spec impact is expected.</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If we strictly follow the existing definition of intra-frequency and inter-frequency measurement, the case belongs to inter-frequency measurement scope. Then for UE capable of </w:t>
      </w:r>
      <w:r>
        <w:rPr>
          <w:rFonts w:hint="eastAsia" w:cs="Times New Roman"/>
          <w:i/>
          <w:iCs/>
          <w:sz w:val="20"/>
          <w:szCs w:val="20"/>
          <w:lang w:val="en-US" w:eastAsia="zh-CN"/>
        </w:rPr>
        <w:t>interFrequencyMeas-NoGap</w:t>
      </w:r>
      <w:r>
        <w:rPr>
          <w:rFonts w:hint="eastAsia" w:cs="Times New Roman"/>
          <w:sz w:val="20"/>
          <w:szCs w:val="20"/>
          <w:lang w:val="en-US" w:eastAsia="zh-CN"/>
        </w:rPr>
        <w:t>, the inter-frequency measurement without measurement gaps requirement should be applied. For UE doesn</w:t>
      </w:r>
      <w:r>
        <w:rPr>
          <w:rFonts w:hint="default" w:cs="Times New Roman"/>
          <w:sz w:val="20"/>
          <w:szCs w:val="20"/>
          <w:lang w:val="en-US" w:eastAsia="zh-CN"/>
        </w:rPr>
        <w:t>’</w:t>
      </w:r>
      <w:r>
        <w:rPr>
          <w:rFonts w:hint="eastAsia" w:cs="Times New Roman"/>
          <w:sz w:val="20"/>
          <w:szCs w:val="20"/>
          <w:lang w:val="en-US" w:eastAsia="zh-CN"/>
        </w:rPr>
        <w:t>t capable of interFrequencyMeas-NoGap,  the inter-frequency measurement with measurement gaps requirement should be applied.</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2: If strictly follow the existing definition of intra-frequency and inter-frequency measurement, the case belongs to inter-frequency measurement. Whether to apply the requirement of inter-frequency measurement with MG or without MG depends on whether UE supports of interFrequencyMeas-NoGap.</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Considering the late stage of this work item, to move forward, we can compromise to follow the existing definition and without introducing any spec impact.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For the case of the neighbour cell(s) is on the carrier of SSB-less SCell and the SSB from neighbour cell(s) can be contained in the active BWP of SSB-less SCell, the measurement for such neighbour cell(s) can be treated as inter-frequency measurement based on existing definition. Whether to apply the requirement of inter-frequency measurement with MG or without MG depends on whether UE supports of interFrequencyMeas-NoGap.</w:t>
      </w:r>
    </w:p>
    <w:p>
      <w:pPr>
        <w:overflowPunct w:val="0"/>
        <w:autoSpaceDE w:val="0"/>
        <w:autoSpaceDN w:val="0"/>
        <w:adjustRightInd w:val="0"/>
        <w:spacing w:after="120"/>
        <w:jc w:val="both"/>
        <w:rPr>
          <w:rFonts w:hint="eastAsia" w:cs="Times New Roman"/>
          <w:sz w:val="20"/>
          <w:szCs w:val="20"/>
          <w:lang w:val="en-US" w:eastAsia="zh-CN"/>
        </w:rPr>
      </w:pPr>
    </w:p>
    <w:bookmarkEnd w:id="4"/>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5"/>
      <w:bookmarkEnd w:id="6"/>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1: Technically, it is feasible to treat this case as intra-frequency measurement, but spec impact is expected.</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2: If strictly follow the existing definition of intra-frequency and inter-frequency measurement, the case belongs to inter-frequency measurement. Whether to apply the requirement of inter-frequency measurement with MG or without MG depends on whether UE supports of interFrequencyMeas-NoGap.</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For the case of the neighbour cell(s) is on the carrier of SSB-less SCell and the SSB from neighbour cell(s) can be contained in the active BWP of SSB-less SCell, the measurement for such neighbour cell(s) can be treated as inter-frequency measurement based on existing definition. Whether to apply the requirement of inter-frequency measurement with MG or without MG depends on whether UE supports of interFrequencyMeas-NoGap.</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5"/>
        </w:numPr>
        <w:rPr>
          <w:rFonts w:hint="eastAsia"/>
          <w:sz w:val="20"/>
          <w:szCs w:val="20"/>
          <w:lang w:val="en-GB" w:eastAsia="zh-CN"/>
        </w:rPr>
      </w:pPr>
      <w:r>
        <w:rPr>
          <w:rFonts w:hint="eastAsia"/>
          <w:sz w:val="20"/>
          <w:szCs w:val="20"/>
          <w:lang w:val="en-US" w:eastAsia="zh-CN"/>
        </w:rPr>
        <w:t xml:space="preserve">R4-2414102, WF on RRM requirements for NR network energy saving, </w:t>
      </w:r>
      <w:r>
        <w:rPr>
          <w:rFonts w:hint="eastAsia"/>
          <w:sz w:val="20"/>
          <w:szCs w:val="20"/>
          <w:lang w:val="en-GB" w:eastAsia="zh-CN"/>
        </w:rPr>
        <w:t>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3F16F56"/>
    <w:rsid w:val="0434763B"/>
    <w:rsid w:val="056C0B5C"/>
    <w:rsid w:val="059B2FBB"/>
    <w:rsid w:val="05B66B2B"/>
    <w:rsid w:val="05C31792"/>
    <w:rsid w:val="06380D63"/>
    <w:rsid w:val="06C938D1"/>
    <w:rsid w:val="06D13BC6"/>
    <w:rsid w:val="0775691E"/>
    <w:rsid w:val="08966482"/>
    <w:rsid w:val="09063CAD"/>
    <w:rsid w:val="091F2183"/>
    <w:rsid w:val="0A726FAB"/>
    <w:rsid w:val="0AC91636"/>
    <w:rsid w:val="0AD74098"/>
    <w:rsid w:val="0CFB40C7"/>
    <w:rsid w:val="105C4837"/>
    <w:rsid w:val="125263AC"/>
    <w:rsid w:val="12F708E7"/>
    <w:rsid w:val="12FB52D6"/>
    <w:rsid w:val="13C54761"/>
    <w:rsid w:val="144F009D"/>
    <w:rsid w:val="14E02C25"/>
    <w:rsid w:val="15F8258F"/>
    <w:rsid w:val="160541EE"/>
    <w:rsid w:val="164F7B75"/>
    <w:rsid w:val="175519EF"/>
    <w:rsid w:val="187E0711"/>
    <w:rsid w:val="198E3F9B"/>
    <w:rsid w:val="19977565"/>
    <w:rsid w:val="1A5E6A80"/>
    <w:rsid w:val="1AA908A3"/>
    <w:rsid w:val="1B81057D"/>
    <w:rsid w:val="1C4140A3"/>
    <w:rsid w:val="1C7E3BD3"/>
    <w:rsid w:val="1D2B280C"/>
    <w:rsid w:val="1D5B4C92"/>
    <w:rsid w:val="1D5F76BA"/>
    <w:rsid w:val="1DB26589"/>
    <w:rsid w:val="1DE54287"/>
    <w:rsid w:val="1DF035A9"/>
    <w:rsid w:val="1EB2708E"/>
    <w:rsid w:val="21F31B70"/>
    <w:rsid w:val="22394DC0"/>
    <w:rsid w:val="2245453C"/>
    <w:rsid w:val="2261677D"/>
    <w:rsid w:val="238D325A"/>
    <w:rsid w:val="248F342A"/>
    <w:rsid w:val="25C32E03"/>
    <w:rsid w:val="25EB7656"/>
    <w:rsid w:val="26455B2C"/>
    <w:rsid w:val="26C167B6"/>
    <w:rsid w:val="27496E3C"/>
    <w:rsid w:val="2884631A"/>
    <w:rsid w:val="28A67D37"/>
    <w:rsid w:val="29465D06"/>
    <w:rsid w:val="29AF71E8"/>
    <w:rsid w:val="29CC56AB"/>
    <w:rsid w:val="2A2B091B"/>
    <w:rsid w:val="2A2B6CE0"/>
    <w:rsid w:val="2A807AE4"/>
    <w:rsid w:val="2ABE4B95"/>
    <w:rsid w:val="2C5C2FEC"/>
    <w:rsid w:val="2D202CAF"/>
    <w:rsid w:val="2D921625"/>
    <w:rsid w:val="2DD75F9C"/>
    <w:rsid w:val="2E464966"/>
    <w:rsid w:val="2E535EC2"/>
    <w:rsid w:val="2E683C59"/>
    <w:rsid w:val="2E871184"/>
    <w:rsid w:val="2F5838B9"/>
    <w:rsid w:val="3007171F"/>
    <w:rsid w:val="328A418D"/>
    <w:rsid w:val="3346489F"/>
    <w:rsid w:val="34785525"/>
    <w:rsid w:val="36164F55"/>
    <w:rsid w:val="365E056F"/>
    <w:rsid w:val="3676329D"/>
    <w:rsid w:val="372F4478"/>
    <w:rsid w:val="38E4448D"/>
    <w:rsid w:val="3A10328B"/>
    <w:rsid w:val="3A622FD7"/>
    <w:rsid w:val="3C045223"/>
    <w:rsid w:val="3C0B377F"/>
    <w:rsid w:val="3C66551A"/>
    <w:rsid w:val="3D3F1B31"/>
    <w:rsid w:val="3D757E60"/>
    <w:rsid w:val="3DCE20FC"/>
    <w:rsid w:val="3E6A7347"/>
    <w:rsid w:val="3E78350E"/>
    <w:rsid w:val="3FCE5A5F"/>
    <w:rsid w:val="40061999"/>
    <w:rsid w:val="41766342"/>
    <w:rsid w:val="4195149B"/>
    <w:rsid w:val="419A3079"/>
    <w:rsid w:val="41B96EC5"/>
    <w:rsid w:val="42272596"/>
    <w:rsid w:val="4434225B"/>
    <w:rsid w:val="443D3D86"/>
    <w:rsid w:val="467F5B10"/>
    <w:rsid w:val="46A8131D"/>
    <w:rsid w:val="46DB4C8A"/>
    <w:rsid w:val="47117ED3"/>
    <w:rsid w:val="47B63C6D"/>
    <w:rsid w:val="4A6045A0"/>
    <w:rsid w:val="4AA21D65"/>
    <w:rsid w:val="4AA27C3D"/>
    <w:rsid w:val="4B1E335D"/>
    <w:rsid w:val="4B920C94"/>
    <w:rsid w:val="4C5002EC"/>
    <w:rsid w:val="4CC9678E"/>
    <w:rsid w:val="4D1F0167"/>
    <w:rsid w:val="4E2931CA"/>
    <w:rsid w:val="4E4D5343"/>
    <w:rsid w:val="4F8A27BF"/>
    <w:rsid w:val="4FAF0931"/>
    <w:rsid w:val="50406436"/>
    <w:rsid w:val="52A0321A"/>
    <w:rsid w:val="52F014E6"/>
    <w:rsid w:val="53AC779A"/>
    <w:rsid w:val="541B64BA"/>
    <w:rsid w:val="54343997"/>
    <w:rsid w:val="550F4C67"/>
    <w:rsid w:val="55633225"/>
    <w:rsid w:val="55855327"/>
    <w:rsid w:val="55A209EE"/>
    <w:rsid w:val="560918AE"/>
    <w:rsid w:val="56134310"/>
    <w:rsid w:val="5670596C"/>
    <w:rsid w:val="56864D16"/>
    <w:rsid w:val="575F74D4"/>
    <w:rsid w:val="58AA2F55"/>
    <w:rsid w:val="59316355"/>
    <w:rsid w:val="5A0D7524"/>
    <w:rsid w:val="5A624644"/>
    <w:rsid w:val="5B1248DB"/>
    <w:rsid w:val="5B475FB3"/>
    <w:rsid w:val="5C3F0114"/>
    <w:rsid w:val="5D111C3D"/>
    <w:rsid w:val="5D52426E"/>
    <w:rsid w:val="5E19471E"/>
    <w:rsid w:val="5E6B3912"/>
    <w:rsid w:val="5EC475D6"/>
    <w:rsid w:val="5EFC6FEB"/>
    <w:rsid w:val="5FB574AB"/>
    <w:rsid w:val="60046178"/>
    <w:rsid w:val="60F65564"/>
    <w:rsid w:val="61F5344E"/>
    <w:rsid w:val="62DF6110"/>
    <w:rsid w:val="63022A32"/>
    <w:rsid w:val="63A96108"/>
    <w:rsid w:val="63BA7386"/>
    <w:rsid w:val="667C7355"/>
    <w:rsid w:val="67F9721F"/>
    <w:rsid w:val="688D6724"/>
    <w:rsid w:val="6A13360C"/>
    <w:rsid w:val="6A1B0A0D"/>
    <w:rsid w:val="6B297D4F"/>
    <w:rsid w:val="6B8B57B2"/>
    <w:rsid w:val="6BDC7C84"/>
    <w:rsid w:val="6C3C1BF0"/>
    <w:rsid w:val="6CEC68F6"/>
    <w:rsid w:val="6D376B5F"/>
    <w:rsid w:val="6DEB4013"/>
    <w:rsid w:val="700379F2"/>
    <w:rsid w:val="70534BFD"/>
    <w:rsid w:val="714F65D4"/>
    <w:rsid w:val="71D432D4"/>
    <w:rsid w:val="727805A8"/>
    <w:rsid w:val="738E1AE0"/>
    <w:rsid w:val="75307AD5"/>
    <w:rsid w:val="75532043"/>
    <w:rsid w:val="75FA3264"/>
    <w:rsid w:val="7656513E"/>
    <w:rsid w:val="767543BB"/>
    <w:rsid w:val="76A87E18"/>
    <w:rsid w:val="773853D9"/>
    <w:rsid w:val="7883331E"/>
    <w:rsid w:val="78A20C1B"/>
    <w:rsid w:val="78D7305C"/>
    <w:rsid w:val="79951646"/>
    <w:rsid w:val="7B2569DF"/>
    <w:rsid w:val="7B4C0432"/>
    <w:rsid w:val="7BBB337B"/>
    <w:rsid w:val="7C3B4CC2"/>
    <w:rsid w:val="7DDF358F"/>
    <w:rsid w:val="7E3C3FAA"/>
    <w:rsid w:val="7E86642D"/>
    <w:rsid w:val="7F0740B3"/>
    <w:rsid w:val="7F7374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1</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2024-11-08T07:41:13Z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